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2D" w:rsidRDefault="00FF342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F342D" w:rsidRDefault="00FF342D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FF342D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FF342D" w:rsidRDefault="00FF342D">
            <w:pPr>
              <w:pStyle w:val="ConsPlusNormal"/>
            </w:pPr>
            <w:r>
              <w:t>7 мая 2012 года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FF342D" w:rsidRDefault="00FF342D">
            <w:pPr>
              <w:pStyle w:val="ConsPlusNormal"/>
              <w:jc w:val="right"/>
            </w:pPr>
            <w:r>
              <w:t>N 601</w:t>
            </w:r>
          </w:p>
        </w:tc>
      </w:tr>
    </w:tbl>
    <w:p w:rsidR="00FF342D" w:rsidRDefault="00FF34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42D" w:rsidRDefault="00FF342D">
      <w:pPr>
        <w:pStyle w:val="ConsPlusNormal"/>
        <w:ind w:firstLine="540"/>
        <w:jc w:val="both"/>
      </w:pPr>
    </w:p>
    <w:p w:rsidR="00FF342D" w:rsidRDefault="00FF342D">
      <w:pPr>
        <w:pStyle w:val="ConsPlusTitle"/>
        <w:jc w:val="center"/>
      </w:pPr>
      <w:r>
        <w:t>УКАЗ</w:t>
      </w:r>
    </w:p>
    <w:p w:rsidR="00FF342D" w:rsidRDefault="00FF342D">
      <w:pPr>
        <w:pStyle w:val="ConsPlusTitle"/>
        <w:jc w:val="center"/>
      </w:pPr>
    </w:p>
    <w:p w:rsidR="00FF342D" w:rsidRDefault="00FF342D">
      <w:pPr>
        <w:pStyle w:val="ConsPlusTitle"/>
        <w:jc w:val="center"/>
      </w:pPr>
      <w:r>
        <w:t>ПРЕЗИДЕНТА РОССИЙСКОЙ ФЕДЕРАЦИИ</w:t>
      </w:r>
    </w:p>
    <w:p w:rsidR="00FF342D" w:rsidRDefault="00FF342D">
      <w:pPr>
        <w:pStyle w:val="ConsPlusTitle"/>
        <w:jc w:val="center"/>
      </w:pPr>
    </w:p>
    <w:p w:rsidR="00FF342D" w:rsidRDefault="00FF342D">
      <w:pPr>
        <w:pStyle w:val="ConsPlusTitle"/>
        <w:jc w:val="center"/>
      </w:pPr>
      <w:r>
        <w:t>ОБ ОСНОВНЫХ НАПРАВЛЕНИЯХ</w:t>
      </w:r>
    </w:p>
    <w:p w:rsidR="00FF342D" w:rsidRDefault="00FF342D">
      <w:pPr>
        <w:pStyle w:val="ConsPlusTitle"/>
        <w:jc w:val="center"/>
      </w:pPr>
      <w:r>
        <w:t>СОВЕРШЕНСТВОВАНИЯ СИСТЕМЫ ГОСУДАРСТВЕННОГО УПРАВЛЕНИЯ</w:t>
      </w:r>
    </w:p>
    <w:p w:rsidR="00FF342D" w:rsidRDefault="00FF342D">
      <w:pPr>
        <w:pStyle w:val="ConsPlusNormal"/>
        <w:ind w:firstLine="540"/>
        <w:jc w:val="both"/>
      </w:pPr>
    </w:p>
    <w:p w:rsidR="00FF342D" w:rsidRDefault="00FF342D">
      <w:pPr>
        <w:pStyle w:val="ConsPlusNormal"/>
        <w:ind w:firstLine="540"/>
        <w:jc w:val="both"/>
      </w:pPr>
      <w:r>
        <w:t>В целях дальнейшего совершенствования системы государственного управления постановляю: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1. Правительству Российской Федерации обеспечить достижение следующих показателей: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г) снижение среднего числа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2. Правительству Российской Федерации обеспечить реализацию следующих мероприятий: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а) до 1 сентября 2012 г. сформировать </w:t>
      </w:r>
      <w:hyperlink r:id="rId5" w:history="1">
        <w:r>
          <w:rPr>
            <w:color w:val="0000FF"/>
          </w:rPr>
          <w:t>систему</w:t>
        </w:r>
      </w:hyperlink>
      <w: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lastRenderedPageBreak/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предоставление не менее 60 дней для проведения публичных консультаций;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в) до 1 сентября 2012 г. утвердить </w:t>
      </w:r>
      <w:hyperlink r:id="rId6" w:history="1">
        <w:r>
          <w:rPr>
            <w:color w:val="0000FF"/>
          </w:rPr>
          <w:t>концепцию</w:t>
        </w:r>
      </w:hyperlink>
      <w:r>
        <w:t xml:space="preserve"> "российской общественной инициативы", предусматривающую: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рассмотрение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Собрания Российской Федерации, членов Совета Федерации Федерального Собрания Российской Федерации и представителей бизнес-сообщества;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установить требования к проведению процедуры оценки регулирующего воздействия в отношении проектов нормативных правовых актов в области </w:t>
      </w:r>
      <w:r>
        <w:lastRenderedPageBreak/>
        <w:t>таможенного и налогового законодательства;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установить обязательный для федеральных органов исполнительной власти </w:t>
      </w:r>
      <w:hyperlink r:id="rId7" w:history="1">
        <w:r>
          <w:rPr>
            <w:color w:val="0000FF"/>
          </w:rPr>
          <w:t>порядок</w:t>
        </w:r>
      </w:hyperlink>
      <w:r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установить сроки проведения процедур оценки регулирующего воздействия проектов нормативных правовых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июля 2013 г.;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lastRenderedPageBreak/>
        <w:t>и) до 1 января 2013 г. обеспечить внесение в законодательство Российской Федерации изменений, предусматривающих: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установление критериев и </w:t>
      </w:r>
      <w:hyperlink r:id="rId8" w:history="1">
        <w:r>
          <w:rPr>
            <w:color w:val="0000FF"/>
          </w:rPr>
          <w:t>порядка</w:t>
        </w:r>
      </w:hyperlink>
      <w: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применение результатов указанной оценки в качестве основания для принятия решений о досрочном прекращении исполнения соответствующими руководителями своих должностных обязанностей;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м) до 1 сентября 2012 г. определить </w:t>
      </w:r>
      <w:hyperlink r:id="rId9" w:history="1">
        <w:r>
          <w:rPr>
            <w:color w:val="0000FF"/>
          </w:rPr>
          <w:t>состав</w:t>
        </w:r>
      </w:hyperlink>
      <w: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контроле за их исполнением;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lastRenderedPageBreak/>
        <w:t>о) в рамках реформирования и развития государственной гражданской службы: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технологий и формирование единой базы вакансий;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формирование перечня квалификационных требований для замещения должностей государственной гражданской службы на основе компетентностного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lastRenderedPageBreak/>
        <w:t>расширение использования механизма ротации применительно к государственным 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развитие института наставничества на государственной гражданской службе;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с) до 1 декабря 2012 г. представить в установленном порядке предложения: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по внедрению системы мониторинга исполнения должностных обязанностей федеральными государственными служащими и работниками государственных </w:t>
      </w:r>
      <w:r>
        <w:lastRenderedPageBreak/>
        <w:t>корпораций, деятельность которых связана с коррупционными рисками;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софинансирования муниципальных образований;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направление в доходы бюджетов поселений и городских округов 100 процентов денежных взысканий (штрафов) за несоблюдение правил благоустройства территорий поселений и городских округов;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возможность зачисления в местные бюджеты поступлений от налога на имущество организаций;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 xml:space="preserve"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</w:t>
      </w:r>
      <w:r>
        <w:lastRenderedPageBreak/>
        <w:t>самоуправления и увязки финансирования органов местного самоуправления с выполнением этих показателей.</w:t>
      </w:r>
    </w:p>
    <w:p w:rsidR="00FF342D" w:rsidRDefault="00FF342D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FF342D" w:rsidRDefault="00FF342D">
      <w:pPr>
        <w:pStyle w:val="ConsPlusNormal"/>
        <w:ind w:firstLine="540"/>
        <w:jc w:val="both"/>
      </w:pPr>
    </w:p>
    <w:p w:rsidR="00FF342D" w:rsidRDefault="00FF342D">
      <w:pPr>
        <w:pStyle w:val="ConsPlusNormal"/>
        <w:jc w:val="right"/>
      </w:pPr>
      <w:r>
        <w:t>Президент</w:t>
      </w:r>
    </w:p>
    <w:p w:rsidR="00FF342D" w:rsidRDefault="00FF342D">
      <w:pPr>
        <w:pStyle w:val="ConsPlusNormal"/>
        <w:jc w:val="right"/>
      </w:pPr>
      <w:r>
        <w:t>Российской Федерации</w:t>
      </w:r>
    </w:p>
    <w:p w:rsidR="00FF342D" w:rsidRDefault="00FF342D">
      <w:pPr>
        <w:pStyle w:val="ConsPlusNormal"/>
        <w:jc w:val="right"/>
      </w:pPr>
      <w:r>
        <w:t>В.ПУТИН</w:t>
      </w:r>
    </w:p>
    <w:p w:rsidR="00FF342D" w:rsidRDefault="00FF342D">
      <w:pPr>
        <w:pStyle w:val="ConsPlusNormal"/>
      </w:pPr>
      <w:r>
        <w:t>Москва, Кремль</w:t>
      </w:r>
    </w:p>
    <w:p w:rsidR="00FF342D" w:rsidRDefault="00FF342D">
      <w:pPr>
        <w:pStyle w:val="ConsPlusNormal"/>
        <w:spacing w:before="280"/>
      </w:pPr>
      <w:r>
        <w:t>7 мая 2012 года</w:t>
      </w:r>
    </w:p>
    <w:p w:rsidR="00FF342D" w:rsidRDefault="00FF342D">
      <w:pPr>
        <w:pStyle w:val="ConsPlusNormal"/>
        <w:spacing w:before="280"/>
      </w:pPr>
      <w:r>
        <w:t>N 601</w:t>
      </w:r>
    </w:p>
    <w:p w:rsidR="00FF342D" w:rsidRDefault="00FF342D">
      <w:pPr>
        <w:pStyle w:val="ConsPlusNormal"/>
        <w:ind w:firstLine="540"/>
        <w:jc w:val="both"/>
      </w:pPr>
    </w:p>
    <w:p w:rsidR="00FF342D" w:rsidRDefault="00FF342D">
      <w:pPr>
        <w:pStyle w:val="ConsPlusNormal"/>
        <w:ind w:firstLine="540"/>
        <w:jc w:val="both"/>
      </w:pPr>
    </w:p>
    <w:p w:rsidR="00FF342D" w:rsidRDefault="00FF34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4BE" w:rsidRDefault="003274BE">
      <w:bookmarkStart w:id="0" w:name="_GoBack"/>
      <w:bookmarkEnd w:id="0"/>
    </w:p>
    <w:sectPr w:rsidR="003274BE" w:rsidSect="00E845DD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2D"/>
    <w:rsid w:val="003274BE"/>
    <w:rsid w:val="009B397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0555-6C51-4FA1-A8F9-8D66672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42D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FF342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F342D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33FC512B87C7219387AC556B43A4BE316CBF195CB55D161BAEC595197D4C0DE84D2A414BB0341D25o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33FC512B87C7219387AC556B43A4BE316DBC185AB05D161BAEC595197D4C0DE84D2A414BB0341D25o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33FC512B87C7219387AC556B43A4BE326EBE1C5FB15D161BAEC5951927oD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E33FC512B87C7219387AC556B43A4BE316CBB1951B25D161BAEC595197D4C0DE84D2A414BB0341E25oA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33FC512B87C7219387AC556B43A4BE3269BD1059B25D161BAEC595197D4C0DE84D2A414BB0341E25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Дмитрий Игоревич</dc:creator>
  <cp:keywords/>
  <dc:description/>
  <cp:lastModifiedBy>Савельев Дмитрий Игоревич</cp:lastModifiedBy>
  <cp:revision>1</cp:revision>
  <dcterms:created xsi:type="dcterms:W3CDTF">2017-07-10T12:40:00Z</dcterms:created>
  <dcterms:modified xsi:type="dcterms:W3CDTF">2017-07-10T12:41:00Z</dcterms:modified>
</cp:coreProperties>
</file>